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6E5" w:rsidRDefault="00D556E5" w14:paraId="00000001" w14:textId="77777777">
      <w:pPr>
        <w:rPr>
          <w:sz w:val="24"/>
          <w:szCs w:val="24"/>
          <w:u w:val="single"/>
        </w:rPr>
      </w:pPr>
    </w:p>
    <w:p w:rsidR="00D556E5" w:rsidRDefault="00B80A97" w14:paraId="00000002" w14:textId="77777777">
      <w:pPr>
        <w:jc w:val="center"/>
        <w:rPr>
          <w:sz w:val="24"/>
          <w:szCs w:val="24"/>
          <w:u w:val="single"/>
        </w:rPr>
      </w:pPr>
      <w:r>
        <w:rPr>
          <w:sz w:val="24"/>
          <w:szCs w:val="24"/>
          <w:u w:val="single"/>
        </w:rPr>
        <w:t>Comunicato stampa</w:t>
      </w:r>
    </w:p>
    <w:p w:rsidR="00D556E5" w:rsidRDefault="00B80A97" w14:paraId="00000003" w14:textId="77777777">
      <w:pPr>
        <w:spacing w:line="276" w:lineRule="auto"/>
        <w:jc w:val="center"/>
        <w:rPr>
          <w:b/>
          <w:color w:val="FF6699"/>
          <w:sz w:val="28"/>
          <w:szCs w:val="28"/>
        </w:rPr>
      </w:pPr>
      <w:r>
        <w:rPr>
          <w:b/>
          <w:color w:val="FF6699"/>
          <w:sz w:val="28"/>
          <w:szCs w:val="28"/>
        </w:rPr>
        <w:t>(H) Open Weekend sulla Menopausa: dal 17 al 19 ottobre servizi gratuiti in oltre 170 ospedali con il Bollino Rosa di Fondazione Onda ETS</w:t>
      </w:r>
    </w:p>
    <w:p w:rsidR="00D556E5" w:rsidRDefault="00B80A97" w14:paraId="00000004" w14:textId="77777777">
      <w:pPr>
        <w:jc w:val="both"/>
        <w:rPr>
          <w:sz w:val="24"/>
          <w:szCs w:val="24"/>
        </w:rPr>
      </w:pPr>
      <w:r>
        <w:rPr>
          <w:b/>
          <w:sz w:val="24"/>
          <w:szCs w:val="24"/>
        </w:rPr>
        <w:t xml:space="preserve">Luogo, data – </w:t>
      </w:r>
      <w:r>
        <w:rPr>
          <w:sz w:val="24"/>
          <w:szCs w:val="24"/>
        </w:rPr>
        <w:t>In occasione della Giornata mondiale della Menopausa, che si celebra il 18 ottobre, Fondazione Onda ETS organizza l’(H) Open Weekend sulla Menopausa dal 17 al 19 ottobre coinvolgendo gli ospedali con il Bollino Rosa. L’iniziativa si pone l’obiettivo di sensibilizzare le donne sui cambiamenti che accompagnano la menopausa e sulle strategie comportamentali, diagnostiche e terapeutiche che consentono, non solo di migliorare i disturbi che connotano le problematiche a breve termine, ma anche di prevenire e/o ri</w:t>
      </w:r>
      <w:r>
        <w:rPr>
          <w:sz w:val="24"/>
          <w:szCs w:val="24"/>
        </w:rPr>
        <w:t>durre le complicanze a medio-lungo termine, come le malattie cardiovascolari, l’osteoporosi e le demenze.</w:t>
      </w:r>
    </w:p>
    <w:p w:rsidR="00D556E5" w:rsidP="7040AA5F" w:rsidRDefault="00B80A97" w14:paraId="00000005" w14:textId="77777777">
      <w:pPr>
        <w:jc w:val="both"/>
        <w:rPr>
          <w:sz w:val="24"/>
          <w:szCs w:val="24"/>
          <w:lang w:val="it-IT"/>
        </w:rPr>
      </w:pPr>
      <w:r w:rsidRPr="7040AA5F" w:rsidR="00B80A97">
        <w:rPr>
          <w:i w:val="1"/>
          <w:iCs w:val="1"/>
          <w:sz w:val="24"/>
          <w:szCs w:val="24"/>
          <w:lang w:val="it-IT"/>
        </w:rPr>
        <w:t xml:space="preserve">«Quello della menopausa è un tema di cui si parla, ma spesso viene trattato in modo superficiale, </w:t>
      </w:r>
      <w:r w:rsidRPr="7040AA5F" w:rsidR="00B80A97">
        <w:rPr>
          <w:i w:val="1"/>
          <w:iCs w:val="1"/>
          <w:sz w:val="24"/>
          <w:szCs w:val="24"/>
          <w:lang w:val="it-IT"/>
        </w:rPr>
        <w:t>portando  molte</w:t>
      </w:r>
      <w:r w:rsidRPr="7040AA5F" w:rsidR="00B80A97">
        <w:rPr>
          <w:i w:val="1"/>
          <w:iCs w:val="1"/>
          <w:sz w:val="24"/>
          <w:szCs w:val="24"/>
          <w:lang w:val="it-IT"/>
        </w:rPr>
        <w:t xml:space="preserve"> donne a convivere passivamente e in silenzio con i sintomi di questa fase di profondo cambiamento. Con l’aumento della prospettiva di vita, oggi una donna può trascorrere in menopausa circa trent’anni: un periodo lungo e delicato, in cui un’informazione corretta, una prevenzione consapevole e, quando necessario, un trattamento adeguato dei sintomi possono contribuire significativamente a miglior</w:t>
      </w:r>
      <w:r w:rsidRPr="7040AA5F" w:rsidR="00B80A97">
        <w:rPr>
          <w:i w:val="1"/>
          <w:iCs w:val="1"/>
          <w:sz w:val="24"/>
          <w:szCs w:val="24"/>
          <w:lang w:val="it-IT"/>
        </w:rPr>
        <w:t xml:space="preserve">are la qualità della vita e a limitare l’insorgenza di problematiche croniche degenerative nel lungo periodo. Per questo motivo, proprio nell’anno del nostro ventennale, come Fondazione Onda ETS siamo fieri di rinnovare il nostro impegno al fianco delle donne con questa nuova edizione dell’Open Weekend», </w:t>
      </w:r>
      <w:r w:rsidRPr="7040AA5F" w:rsidR="00B80A97">
        <w:rPr>
          <w:sz w:val="24"/>
          <w:szCs w:val="24"/>
          <w:lang w:val="it-IT"/>
        </w:rPr>
        <w:t xml:space="preserve">dichiara </w:t>
      </w:r>
      <w:r w:rsidRPr="7040AA5F" w:rsidR="00B80A97">
        <w:rPr>
          <w:b w:val="1"/>
          <w:bCs w:val="1"/>
          <w:sz w:val="24"/>
          <w:szCs w:val="24"/>
          <w:lang w:val="it-IT"/>
        </w:rPr>
        <w:t>Francesca Merzagora, Presidente Fondazione Onda ETS.</w:t>
      </w:r>
    </w:p>
    <w:p w:rsidR="00D556E5" w:rsidRDefault="00B80A97" w14:paraId="00000006" w14:textId="77777777">
      <w:pPr>
        <w:jc w:val="both"/>
        <w:rPr>
          <w:sz w:val="24"/>
          <w:szCs w:val="24"/>
        </w:rPr>
      </w:pPr>
      <w:r>
        <w:rPr>
          <w:sz w:val="24"/>
          <w:szCs w:val="24"/>
        </w:rPr>
        <w:t>Le oltre 170 strutture del network del Bollino Rosa che hanno aderito all’iniziativa offriranno gratuitamente servizi clinico-diagnostici e informativi alla popolazione femminile, quali consulenze e colloqui, esami strumentali, conferenze, info point e distribuzione di materiali informativi nelle aree specialistiche di cardiologia, diabetologia, dietologia e nutrizione, endocrinologia e malattie del metabolismo, ginecologia e ostetricia, psichiatria, reumatologia e senologia.</w:t>
      </w:r>
    </w:p>
    <w:p w:rsidR="00D556E5" w:rsidRDefault="00B80A97" w14:paraId="00000007" w14:textId="77777777">
      <w:pPr>
        <w:spacing w:line="276" w:lineRule="auto"/>
        <w:jc w:val="both"/>
        <w:rPr>
          <w:sz w:val="24"/>
          <w:szCs w:val="24"/>
        </w:rPr>
      </w:pPr>
      <w:r>
        <w:rPr>
          <w:sz w:val="24"/>
          <w:szCs w:val="24"/>
        </w:rPr>
        <w:t xml:space="preserve">A partire dal </w:t>
      </w:r>
      <w:r>
        <w:rPr>
          <w:b/>
          <w:sz w:val="24"/>
          <w:szCs w:val="24"/>
        </w:rPr>
        <w:t>7 ottobre</w:t>
      </w:r>
      <w:r>
        <w:rPr>
          <w:sz w:val="24"/>
          <w:szCs w:val="24"/>
        </w:rPr>
        <w:t xml:space="preserve"> tutti i servizi offerti con indicazioni su date, orari e modalità di prenotazione saranno consultabili sul sito </w:t>
      </w:r>
      <w:hyperlink r:id="rId10">
        <w:r>
          <w:rPr>
            <w:color w:val="1155CC"/>
            <w:sz w:val="24"/>
            <w:szCs w:val="24"/>
            <w:u w:val="single"/>
          </w:rPr>
          <w:t>www.bollinirosa.it</w:t>
        </w:r>
      </w:hyperlink>
      <w:r>
        <w:rPr>
          <w:sz w:val="24"/>
          <w:szCs w:val="24"/>
        </w:rPr>
        <w:t>. È possibile selezionare la regione e la provincia di interesse per visualizzare l’elenco degli ospedali aderenti e i servizi che offrono.</w:t>
      </w:r>
    </w:p>
    <w:p w:rsidR="00D556E5" w:rsidRDefault="00B80A97" w14:paraId="00000008" w14:textId="77777777">
      <w:pPr>
        <w:spacing w:line="276" w:lineRule="auto"/>
        <w:jc w:val="both"/>
        <w:rPr>
          <w:sz w:val="24"/>
          <w:szCs w:val="24"/>
        </w:rPr>
      </w:pPr>
      <w:r>
        <w:rPr>
          <w:sz w:val="24"/>
          <w:szCs w:val="24"/>
        </w:rPr>
        <w:t xml:space="preserve">Fondazione Onda ETS dal 2007 attribuisce agli ospedali che erogano servizi dedicati alla prevenzione, diagnosi e cura delle principali patologie femminili il riconoscimento del Bollino Rosa. Il network, composto da </w:t>
      </w:r>
      <w:r>
        <w:rPr>
          <w:b/>
          <w:sz w:val="24"/>
          <w:szCs w:val="24"/>
        </w:rPr>
        <w:t>361 ospedali</w:t>
      </w:r>
      <w:r>
        <w:rPr>
          <w:sz w:val="24"/>
          <w:szCs w:val="24"/>
        </w:rPr>
        <w:t xml:space="preserve"> dislocati sul territorio nazionale, sostiene Fondazione Onda ETS nel promuovere, anche all’interno degli ospedali, un approccio “di genere” nella definizione e nella programmazione strategica dei servizi clinico-assistenziali, indispensabile per garantire il diritto alla salute non solo delle donne ma anche degli uomini.</w:t>
      </w:r>
    </w:p>
    <w:p w:rsidR="00D556E5" w:rsidRDefault="00B80A97" w14:paraId="00000009" w14:textId="77777777">
      <w:pPr>
        <w:spacing w:line="276" w:lineRule="auto"/>
        <w:jc w:val="both"/>
        <w:rPr>
          <w:sz w:val="24"/>
          <w:szCs w:val="24"/>
        </w:rPr>
      </w:pPr>
      <w:r>
        <w:rPr>
          <w:b/>
          <w:sz w:val="24"/>
          <w:szCs w:val="24"/>
        </w:rPr>
        <w:t xml:space="preserve">Sul sito </w:t>
      </w:r>
      <w:hyperlink r:id="rId11">
        <w:r>
          <w:rPr>
            <w:b/>
            <w:color w:val="1155CC"/>
            <w:sz w:val="24"/>
            <w:szCs w:val="24"/>
            <w:u w:val="single"/>
          </w:rPr>
          <w:t>www.bollinirosa.it</w:t>
        </w:r>
      </w:hyperlink>
      <w:r>
        <w:rPr>
          <w:b/>
          <w:sz w:val="24"/>
          <w:szCs w:val="24"/>
        </w:rPr>
        <w:t xml:space="preserve"> è possibile avere maggiori info</w:t>
      </w:r>
      <w:r>
        <w:rPr>
          <w:sz w:val="24"/>
          <w:szCs w:val="24"/>
        </w:rPr>
        <w:t xml:space="preserve"> e:</w:t>
      </w:r>
    </w:p>
    <w:p w:rsidR="00D556E5" w:rsidRDefault="00D556E5" w14:paraId="0000000A" w14:textId="77777777">
      <w:pPr>
        <w:spacing w:line="276" w:lineRule="auto"/>
        <w:jc w:val="both"/>
        <w:rPr>
          <w:sz w:val="24"/>
          <w:szCs w:val="24"/>
        </w:rPr>
      </w:pPr>
    </w:p>
    <w:p w:rsidR="00D556E5" w:rsidRDefault="00B80A97" w14:paraId="0000000B" w14:textId="77777777">
      <w:pPr>
        <w:spacing w:line="276" w:lineRule="auto"/>
        <w:jc w:val="both"/>
        <w:rPr>
          <w:sz w:val="24"/>
          <w:szCs w:val="24"/>
        </w:rPr>
      </w:pPr>
      <w:r>
        <w:rPr>
          <w:sz w:val="24"/>
          <w:szCs w:val="24"/>
        </w:rPr>
        <w:t>• Consultare le schede degli ospedali premiati e i relativi servizi, utilizzando un motore di ricerca</w:t>
      </w:r>
    </w:p>
    <w:p w:rsidR="00D556E5" w:rsidRDefault="00B80A97" w14:paraId="0000000C" w14:textId="77777777">
      <w:pPr>
        <w:spacing w:line="276" w:lineRule="auto"/>
        <w:jc w:val="both"/>
        <w:rPr>
          <w:sz w:val="24"/>
          <w:szCs w:val="24"/>
        </w:rPr>
      </w:pPr>
      <w:r>
        <w:rPr>
          <w:sz w:val="24"/>
          <w:szCs w:val="24"/>
        </w:rPr>
        <w:t>indicizzato per regione, provincia e area specialistica.</w:t>
      </w:r>
    </w:p>
    <w:p w:rsidR="00D556E5" w:rsidRDefault="00B80A97" w14:paraId="0000000D" w14:textId="77777777">
      <w:pPr>
        <w:spacing w:line="276" w:lineRule="auto"/>
        <w:jc w:val="both"/>
        <w:rPr>
          <w:sz w:val="24"/>
          <w:szCs w:val="24"/>
        </w:rPr>
      </w:pPr>
      <w:r>
        <w:rPr>
          <w:sz w:val="24"/>
          <w:szCs w:val="24"/>
        </w:rPr>
        <w:t>• Pubblicare un commento sui servizi premiati in base all’esperienza personale.</w:t>
      </w:r>
    </w:p>
    <w:p w:rsidR="00D556E5" w:rsidRDefault="00B80A97" w14:paraId="0000000E" w14:textId="77777777">
      <w:pPr>
        <w:spacing w:line="276" w:lineRule="auto"/>
        <w:jc w:val="both"/>
        <w:rPr>
          <w:sz w:val="24"/>
          <w:szCs w:val="24"/>
        </w:rPr>
      </w:pPr>
      <w:r>
        <w:rPr>
          <w:sz w:val="24"/>
          <w:szCs w:val="24"/>
        </w:rPr>
        <w:t>• Conoscere le iniziative realizzate da Fondazione Onda ETS in collaborazione con gli ospedali</w:t>
      </w:r>
    </w:p>
    <w:p w:rsidR="00D556E5" w:rsidRDefault="00B80A97" w14:paraId="0000000F" w14:textId="77777777">
      <w:pPr>
        <w:spacing w:line="276" w:lineRule="auto"/>
        <w:jc w:val="both"/>
        <w:rPr>
          <w:sz w:val="24"/>
          <w:szCs w:val="24"/>
        </w:rPr>
      </w:pPr>
      <w:r>
        <w:rPr>
          <w:sz w:val="24"/>
          <w:szCs w:val="24"/>
        </w:rPr>
        <w:t>Bollino Rosa.</w:t>
      </w:r>
    </w:p>
    <w:p w:rsidR="00D556E5" w:rsidP="7040AA5F" w:rsidRDefault="00B80A97" w14:paraId="00000010" w14:textId="77777777">
      <w:pPr>
        <w:spacing w:after="200" w:line="276" w:lineRule="auto"/>
        <w:jc w:val="both"/>
        <w:rPr>
          <w:sz w:val="24"/>
          <w:szCs w:val="24"/>
          <w:lang w:val="it-IT"/>
        </w:rPr>
      </w:pPr>
      <w:r w:rsidRPr="7040AA5F" w:rsidR="00B80A97">
        <w:rPr>
          <w:sz w:val="24"/>
          <w:szCs w:val="24"/>
          <w:highlight w:val="white"/>
          <w:lang w:val="it-IT"/>
        </w:rPr>
        <w:t xml:space="preserve">L’iniziativa è realizzata con il patrocinio di </w:t>
      </w:r>
      <w:r w:rsidRPr="7040AA5F" w:rsidR="00B80A97">
        <w:rPr>
          <w:sz w:val="24"/>
          <w:szCs w:val="24"/>
          <w:highlight w:val="white"/>
          <w:lang w:val="it-IT"/>
        </w:rPr>
        <w:t>Alomar</w:t>
      </w:r>
      <w:r w:rsidRPr="7040AA5F" w:rsidR="00B80A97">
        <w:rPr>
          <w:sz w:val="24"/>
          <w:szCs w:val="24"/>
          <w:highlight w:val="white"/>
          <w:lang w:val="it-IT"/>
        </w:rPr>
        <w:t xml:space="preserve"> ODV - Associazione Lombarda Malattie Reumatologiche, FEDIOS - Federazione Italiana Osteoporosi e malattie dello Scheletro e SIGO - Società Italiana di Ginecologia e Ostetricia, </w:t>
      </w:r>
      <w:r w:rsidRPr="7040AA5F" w:rsidR="00B80A97">
        <w:rPr>
          <w:sz w:val="24"/>
          <w:szCs w:val="24"/>
          <w:lang w:val="it-IT"/>
        </w:rPr>
        <w:t xml:space="preserve">con il contributo incondizionato di </w:t>
      </w:r>
      <w:r w:rsidRPr="7040AA5F" w:rsidR="00B80A97">
        <w:rPr>
          <w:sz w:val="24"/>
          <w:szCs w:val="24"/>
          <w:lang w:val="it-IT"/>
        </w:rPr>
        <w:t>Astellas</w:t>
      </w:r>
      <w:r w:rsidRPr="7040AA5F" w:rsidR="00B80A97">
        <w:rPr>
          <w:sz w:val="24"/>
          <w:szCs w:val="24"/>
          <w:lang w:val="it-IT"/>
        </w:rPr>
        <w:t xml:space="preserve"> e con la media partnership di Adnkronos Salute, Baby Magazine, </w:t>
      </w:r>
      <w:r w:rsidRPr="7040AA5F" w:rsidR="00B80A97">
        <w:rPr>
          <w:sz w:val="24"/>
          <w:szCs w:val="24"/>
          <w:lang w:val="it-IT"/>
        </w:rPr>
        <w:t>Dottnet</w:t>
      </w:r>
      <w:r w:rsidRPr="7040AA5F" w:rsidR="00B80A97">
        <w:rPr>
          <w:sz w:val="24"/>
          <w:szCs w:val="24"/>
          <w:lang w:val="it-IT"/>
        </w:rPr>
        <w:t>, Panorama della Sanità, Salutare e Tecnica Ospedaliera.</w:t>
      </w:r>
    </w:p>
    <w:p w:rsidR="00D556E5" w:rsidRDefault="00B80A97" w14:paraId="00000011" w14:textId="77777777">
      <w:pPr>
        <w:jc w:val="both"/>
        <w:rPr>
          <w:b/>
          <w:sz w:val="24"/>
          <w:szCs w:val="24"/>
          <w:highlight w:val="white"/>
        </w:rPr>
      </w:pPr>
      <w:r>
        <w:rPr>
          <w:b/>
          <w:sz w:val="24"/>
          <w:szCs w:val="24"/>
          <w:highlight w:val="white"/>
        </w:rPr>
        <w:t xml:space="preserve">Per maggiori informazioni </w:t>
      </w:r>
      <w:hyperlink r:id="rId12">
        <w:r>
          <w:rPr>
            <w:b/>
            <w:color w:val="1155CC"/>
            <w:sz w:val="24"/>
            <w:szCs w:val="24"/>
            <w:highlight w:val="white"/>
            <w:u w:val="single"/>
          </w:rPr>
          <w:t>clicca qui</w:t>
        </w:r>
      </w:hyperlink>
    </w:p>
    <w:p w:rsidR="00D556E5" w:rsidRDefault="00B80A97" w14:paraId="00000012" w14:textId="77777777">
      <w:pPr>
        <w:spacing w:after="0"/>
        <w:rPr>
          <w:i/>
          <w:color w:val="3333CC"/>
          <w:sz w:val="24"/>
          <w:szCs w:val="24"/>
        </w:rPr>
      </w:pPr>
      <w:r>
        <w:rPr>
          <w:i/>
          <w:sz w:val="24"/>
          <w:szCs w:val="24"/>
        </w:rPr>
        <w:t>Ufficio stampa</w:t>
      </w:r>
      <w:r>
        <w:rPr>
          <w:rFonts w:ascii="Arial" w:hAnsi="Arial" w:eastAsia="Arial" w:cs="Arial"/>
          <w:color w:val="000000"/>
          <w:sz w:val="24"/>
          <w:szCs w:val="24"/>
        </w:rPr>
        <w:br/>
      </w:r>
      <w:r>
        <w:rPr>
          <w:b/>
          <w:sz w:val="24"/>
          <w:szCs w:val="24"/>
        </w:rPr>
        <w:t>xxx</w:t>
      </w:r>
    </w:p>
    <w:sectPr w:rsidR="00D556E5">
      <w:headerReference w:type="default" r:id="rId13"/>
      <w:headerReference w:type="first" r:id="rId14"/>
      <w:pgSz w:w="11906" w:h="16838" w:orient="portrait"/>
      <w:pgMar w:top="1417" w:right="1134" w:bottom="1134"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A97" w:rsidRDefault="00B80A97" w14:paraId="7D5937E1" w14:textId="77777777">
      <w:pPr>
        <w:spacing w:after="0" w:line="240" w:lineRule="auto"/>
      </w:pPr>
      <w:r>
        <w:separator/>
      </w:r>
    </w:p>
  </w:endnote>
  <w:endnote w:type="continuationSeparator" w:id="0">
    <w:p w:rsidR="00B80A97" w:rsidRDefault="00B80A97" w14:paraId="3D8938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A97" w:rsidRDefault="00B80A97" w14:paraId="40C9989F" w14:textId="77777777">
      <w:pPr>
        <w:spacing w:after="0" w:line="240" w:lineRule="auto"/>
      </w:pPr>
      <w:r>
        <w:separator/>
      </w:r>
    </w:p>
  </w:footnote>
  <w:footnote w:type="continuationSeparator" w:id="0">
    <w:p w:rsidR="00B80A97" w:rsidRDefault="00B80A97" w14:paraId="5D74C0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6E5" w:rsidRDefault="00B80A97" w14:paraId="00000013" w14:textId="77777777">
    <w:pPr>
      <w:pBdr>
        <w:top w:val="nil"/>
        <w:left w:val="nil"/>
        <w:bottom w:val="nil"/>
        <w:right w:val="nil"/>
        <w:between w:val="nil"/>
      </w:pBdr>
      <w:tabs>
        <w:tab w:val="center" w:pos="4819"/>
        <w:tab w:val="right" w:pos="9638"/>
        <w:tab w:val="left" w:pos="5970"/>
      </w:tabs>
      <w:spacing w:after="0" w:line="240" w:lineRule="auto"/>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6E5" w:rsidRDefault="00D556E5" w14:paraId="00000014" w14:textId="77777777">
    <w:pPr>
      <w:tabs>
        <w:tab w:val="center" w:pos="4819"/>
        <w:tab w:val="right" w:pos="9638"/>
      </w:tabs>
      <w:spacing w:after="0" w:line="240" w:lineRule="auto"/>
      <w:jc w:val="center"/>
      <w:rPr>
        <w:color w:val="000000"/>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E5"/>
    <w:rsid w:val="00413B86"/>
    <w:rsid w:val="00B80A97"/>
    <w:rsid w:val="00D556E5"/>
    <w:rsid w:val="7040AA5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3FFF91"/>
  <w15:docId w15:val="{E9F16660-BE07-4239-B449-E32AD6AB3F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it" w:eastAsia="ja-JP"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styleId="TableNormal0" w:customStyle="1">
    <w:name w:val="TableNormal0"/>
    <w:tblPr>
      <w:tblCellMar>
        <w:top w:w="100" w:type="dxa"/>
        <w:left w:w="100" w:type="dxa"/>
        <w:bottom w:w="100" w:type="dxa"/>
        <w:right w:w="100" w:type="dxa"/>
      </w:tblCellMar>
    </w:tblPr>
  </w:style>
  <w:style w:type="table" w:styleId="TableNormal1" w:customStyle="1">
    <w:name w:val="TableNormal1"/>
    <w:tblPr>
      <w:tblCellMar>
        <w:top w:w="0" w:type="dxa"/>
        <w:left w:w="0" w:type="dxa"/>
        <w:bottom w:w="0" w:type="dxa"/>
        <w:right w:w="0" w:type="dxa"/>
      </w:tblCellMar>
    </w:tblPr>
  </w:style>
  <w:style w:type="paragraph" w:styleId="Intestazione">
    <w:name w:val="header"/>
    <w:link w:val="IntestazioneCarattere"/>
    <w:uiPriority w:val="99"/>
    <w:unhideWhenUsed/>
    <w:rsid w:val="00992DE9"/>
    <w:pPr>
      <w:tabs>
        <w:tab w:val="center" w:pos="4819"/>
        <w:tab w:val="right" w:pos="9638"/>
      </w:tabs>
      <w:spacing w:after="0" w:line="240" w:lineRule="auto"/>
    </w:pPr>
    <w:rPr>
      <w:kern w:val="2"/>
    </w:rPr>
  </w:style>
  <w:style w:type="character" w:styleId="IntestazioneCarattere" w:customStyle="1">
    <w:name w:val="Intestazione Carattere"/>
    <w:basedOn w:val="Carpredefinitoparagrafo"/>
    <w:link w:val="Intestazione"/>
    <w:uiPriority w:val="99"/>
    <w:rsid w:val="00992DE9"/>
  </w:style>
  <w:style w:type="paragraph" w:styleId="Pidipagina">
    <w:name w:val="footer"/>
    <w:link w:val="PidipaginaCarattere"/>
    <w:uiPriority w:val="99"/>
    <w:unhideWhenUsed/>
    <w:rsid w:val="00992DE9"/>
    <w:pPr>
      <w:tabs>
        <w:tab w:val="center" w:pos="4819"/>
        <w:tab w:val="right" w:pos="9638"/>
      </w:tabs>
      <w:spacing w:after="0" w:line="240" w:lineRule="auto"/>
    </w:pPr>
    <w:rPr>
      <w:kern w:val="2"/>
    </w:rPr>
  </w:style>
  <w:style w:type="character" w:styleId="PidipaginaCarattere" w:customStyle="1">
    <w:name w:val="Piè di pagina Carattere"/>
    <w:basedOn w:val="Carpredefinitoparagrafo"/>
    <w:link w:val="Pidipagina"/>
    <w:uiPriority w:val="99"/>
    <w:rsid w:val="00992DE9"/>
  </w:style>
  <w:style w:type="character" w:styleId="Collegamentoipertestuale">
    <w:name w:val="Hyperlink"/>
    <w:basedOn w:val="Carpredefinitoparagrafo"/>
    <w:uiPriority w:val="99"/>
    <w:unhideWhenUsed/>
    <w:rsid w:val="008F60F8"/>
    <w:rPr>
      <w:color w:val="0563C1" w:themeColor="hyperlink"/>
      <w:u w:val="single"/>
    </w:rPr>
  </w:style>
  <w:style w:type="paragraph" w:styleId="IndirizzoHTML">
    <w:name w:val="HTML Address"/>
    <w:link w:val="IndirizzoHTMLCarattere"/>
    <w:uiPriority w:val="99"/>
    <w:semiHidden/>
    <w:unhideWhenUsed/>
    <w:rsid w:val="008F60F8"/>
    <w:pPr>
      <w:spacing w:after="0" w:line="240" w:lineRule="auto"/>
    </w:pPr>
    <w:rPr>
      <w:rFonts w:ascii="Times New Roman" w:hAnsi="Times New Roman" w:eastAsia="Times New Roman" w:cs="Times New Roman"/>
      <w:i/>
      <w:iCs/>
      <w:sz w:val="24"/>
      <w:szCs w:val="24"/>
      <w:lang w:eastAsia="it-IT"/>
    </w:rPr>
  </w:style>
  <w:style w:type="character" w:styleId="IndirizzoHTMLCarattere" w:customStyle="1">
    <w:name w:val="Indirizzo HTML Carattere"/>
    <w:basedOn w:val="Carpredefinitoparagrafo"/>
    <w:link w:val="IndirizzoHTML"/>
    <w:uiPriority w:val="99"/>
    <w:semiHidden/>
    <w:rsid w:val="008F60F8"/>
    <w:rPr>
      <w:rFonts w:ascii="Times New Roman" w:hAnsi="Times New Roman" w:eastAsia="Times New Roman" w:cs="Times New Roman"/>
      <w:i/>
      <w:iCs/>
      <w:kern w:val="0"/>
      <w:sz w:val="24"/>
      <w:szCs w:val="24"/>
      <w:lang w:eastAsia="it-IT"/>
    </w:rPr>
  </w:style>
  <w:style w:type="character" w:styleId="Enfasicorsivo">
    <w:name w:val="Emphasis"/>
    <w:basedOn w:val="Carpredefinitoparagrafo"/>
    <w:uiPriority w:val="20"/>
    <w:qFormat/>
    <w:rsid w:val="008F60F8"/>
    <w:rPr>
      <w:i/>
      <w:iCs/>
    </w:rPr>
  </w:style>
  <w:style w:type="character" w:styleId="Enfasigrassetto">
    <w:name w:val="Strong"/>
    <w:basedOn w:val="Carpredefinitoparagrafo"/>
    <w:uiPriority w:val="22"/>
    <w:qFormat/>
    <w:rsid w:val="008F60F8"/>
    <w:rPr>
      <w:b/>
      <w:bCs/>
    </w:rPr>
  </w:style>
  <w:style w:type="character" w:styleId="Menzionenonrisolta">
    <w:name w:val="Unresolved Mention"/>
    <w:basedOn w:val="Carpredefinitoparagrafo"/>
    <w:uiPriority w:val="99"/>
    <w:semiHidden/>
    <w:unhideWhenUsed/>
    <w:rsid w:val="00D77A77"/>
    <w:rPr>
      <w:color w:val="605E5C"/>
      <w:shd w:val="clear" w:color="auto" w:fill="E1DFDD"/>
    </w:rPr>
  </w:style>
  <w:style w:type="paragraph" w:styleId="Revisione">
    <w:name w:val="Revision"/>
    <w:hidden/>
    <w:uiPriority w:val="99"/>
    <w:semiHidden/>
    <w:rsid w:val="00F03F3D"/>
    <w:pPr>
      <w:spacing w:after="0" w:line="240" w:lineRule="auto"/>
    </w:pPr>
  </w:style>
  <w:style w:type="character" w:styleId="Collegamentovisitato">
    <w:name w:val="FollowedHyperlink"/>
    <w:basedOn w:val="Carpredefinitoparagrafo"/>
    <w:uiPriority w:val="99"/>
    <w:semiHidden/>
    <w:unhideWhenUsed/>
    <w:rsid w:val="00F03F3D"/>
    <w:rPr>
      <w:color w:val="954F72" w:themeColor="followedHyperlink"/>
      <w:u w:val="single"/>
    </w:rPr>
  </w:style>
  <w:style w:type="paragraph" w:styleId="Sottotitolo">
    <w:name w:val="Subtitle"/>
    <w:basedOn w:val="Normale"/>
    <w:next w:val="Normale"/>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bollinirosa.it/iniziativa/h-open-week-end-menopausa-17-19-ottobre-2025/"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bollinirosa.it"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www.bollinirosa.it"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5f xmlns="4f695c68-06df-40f2-8506-e640496a710f" xsi:nil="true"/>
    <lcf76f155ced4ddcb4097134ff3c332f xmlns="4f695c68-06df-40f2-8506-e640496a710f">
      <Terms xmlns="http://schemas.microsoft.com/office/infopath/2007/PartnerControls"/>
    </lcf76f155ced4ddcb4097134ff3c332f>
    <TaxCatchAll xmlns="d9e3dd3f-8eef-4c63-a047-0d0ab69391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97B58318E23EA438ECC317386C2095C" ma:contentTypeVersion="27" ma:contentTypeDescription="Creare un nuovo documento." ma:contentTypeScope="" ma:versionID="1a9f8c8d7c8ae1bfd2405762f749c3f3">
  <xsd:schema xmlns:xsd="http://www.w3.org/2001/XMLSchema" xmlns:xs="http://www.w3.org/2001/XMLSchema" xmlns:p="http://schemas.microsoft.com/office/2006/metadata/properties" xmlns:ns2="4f695c68-06df-40f2-8506-e640496a710f" xmlns:ns3="d9e3dd3f-8eef-4c63-a047-0d0ab69391df" targetNamespace="http://schemas.microsoft.com/office/2006/metadata/properties" ma:root="true" ma:fieldsID="361923558b2eb25e707fb6ccad668994" ns2:_="" ns3:_="">
    <xsd:import namespace="4f695c68-06df-40f2-8506-e640496a710f"/>
    <xsd:import namespace="d9e3dd3f-8eef-4c63-a047-0d0ab69391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va5f" minOccurs="0"/>
                <xsd:element ref="ns2:e9031a1f-84d0-4bb1-bd09-e6c05d38087bCountryOrRegion" minOccurs="0"/>
                <xsd:element ref="ns2:e9031a1f-84d0-4bb1-bd09-e6c05d38087bState" minOccurs="0"/>
                <xsd:element ref="ns2:e9031a1f-84d0-4bb1-bd09-e6c05d38087bCity" minOccurs="0"/>
                <xsd:element ref="ns2:e9031a1f-84d0-4bb1-bd09-e6c05d38087bPostalCode" minOccurs="0"/>
                <xsd:element ref="ns2:e9031a1f-84d0-4bb1-bd09-e6c05d38087bStreet" minOccurs="0"/>
                <xsd:element ref="ns2:e9031a1f-84d0-4bb1-bd09-e6c05d38087bGeoLoc" minOccurs="0"/>
                <xsd:element ref="ns2:e9031a1f-84d0-4bb1-bd09-e6c05d38087bDisp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5c68-06df-40f2-8506-e640496a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va5f" ma:index="18" nillable="true" ma:displayName="Posizione" ma:internalName="va5f">
      <xsd:simpleType>
        <xsd:restriction base="dms:Unknown"/>
      </xsd:simpleType>
    </xsd:element>
    <xsd:element name="e9031a1f-84d0-4bb1-bd09-e6c05d38087bCountryOrRegion" ma:index="19" nillable="true" ma:displayName="Posizione: Paese/area geografica" ma:internalName="CountryOrRegion" ma:readOnly="true">
      <xsd:simpleType>
        <xsd:restriction base="dms:Text"/>
      </xsd:simpleType>
    </xsd:element>
    <xsd:element name="e9031a1f-84d0-4bb1-bd09-e6c05d38087bState" ma:index="20" nillable="true" ma:displayName="Posizione: Provincia" ma:internalName="State" ma:readOnly="true">
      <xsd:simpleType>
        <xsd:restriction base="dms:Text"/>
      </xsd:simpleType>
    </xsd:element>
    <xsd:element name="e9031a1f-84d0-4bb1-bd09-e6c05d38087bCity" ma:index="21" nillable="true" ma:displayName="Posizione: Città" ma:internalName="City" ma:readOnly="true">
      <xsd:simpleType>
        <xsd:restriction base="dms:Text"/>
      </xsd:simpleType>
    </xsd:element>
    <xsd:element name="e9031a1f-84d0-4bb1-bd09-e6c05d38087bPostalCode" ma:index="22" nillable="true" ma:displayName="Posizione: CAP" ma:internalName="PostalCode" ma:readOnly="true">
      <xsd:simpleType>
        <xsd:restriction base="dms:Text"/>
      </xsd:simpleType>
    </xsd:element>
    <xsd:element name="e9031a1f-84d0-4bb1-bd09-e6c05d38087bStreet" ma:index="23" nillable="true" ma:displayName="Posizione: Via" ma:internalName="Street" ma:readOnly="true">
      <xsd:simpleType>
        <xsd:restriction base="dms:Text"/>
      </xsd:simpleType>
    </xsd:element>
    <xsd:element name="e9031a1f-84d0-4bb1-bd09-e6c05d38087bGeoLoc" ma:index="24" nillable="true" ma:displayName="Posizione: Coordinate" ma:internalName="GeoLoc" ma:readOnly="true">
      <xsd:simpleType>
        <xsd:restriction base="dms:Unknown"/>
      </xsd:simpleType>
    </xsd:element>
    <xsd:element name="e9031a1f-84d0-4bb1-bd09-e6c05d38087bDispName" ma:index="25" nillable="true" ma:displayName="Posizione: nome" ma:internalName="DispNam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Tag immagine" ma:readOnly="false" ma:fieldId="{5cf76f15-5ced-4ddc-b409-7134ff3c332f}" ma:taxonomyMulti="true" ma:sspId="d9af7734-1176-43dc-8122-1c8aa0d8f1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e3dd3f-8eef-4c63-a047-0d0ab69391df" elementFormDefault="qualified">
    <xsd:import namespace="http://schemas.microsoft.com/office/2006/documentManagement/types"/>
    <xsd:import namespace="http://schemas.microsoft.com/office/infopath/2007/PartnerControls"/>
    <xsd:element name="SharedWithUsers" ma:index="2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Condiviso con dettagli" ma:internalName="SharedWithDetails" ma:readOnly="true">
      <xsd:simpleType>
        <xsd:restriction base="dms:Note">
          <xsd:maxLength value="255"/>
        </xsd:restriction>
      </xsd:simpleType>
    </xsd:element>
    <xsd:element name="TaxCatchAll" ma:index="31" nillable="true" ma:displayName="Taxonomy Catch All Column" ma:hidden="true" ma:list="{21f831ed-5547-4ab1-83b0-cf700445aefe}" ma:internalName="TaxCatchAll" ma:showField="CatchAllData" ma:web="d9e3dd3f-8eef-4c63-a047-0d0ab6939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DYzvD3MbsVy1tl5/W8LMO9aX4Q==">CgMxLjA4AHIhMWdadnFsekdEeWN0MDVJN1U5ZkxONDRYM2hUMEhhREhW</go:docsCustomData>
</go:gDocsCustomXmlDataStorage>
</file>

<file path=customXml/itemProps1.xml><?xml version="1.0" encoding="utf-8"?>
<ds:datastoreItem xmlns:ds="http://schemas.openxmlformats.org/officeDocument/2006/customXml" ds:itemID="{EB7E4EE3-6AAC-440B-B360-645DD80626FF}">
  <ds:schemaRefs>
    <ds:schemaRef ds:uri="http://schemas.microsoft.com/office/2006/metadata/properties"/>
    <ds:schemaRef ds:uri="http://schemas.microsoft.com/office/infopath/2007/PartnerControls"/>
    <ds:schemaRef ds:uri="4f695c68-06df-40f2-8506-e640496a710f"/>
    <ds:schemaRef ds:uri="d9e3dd3f-8eef-4c63-a047-0d0ab69391df"/>
  </ds:schemaRefs>
</ds:datastoreItem>
</file>

<file path=customXml/itemProps2.xml><?xml version="1.0" encoding="utf-8"?>
<ds:datastoreItem xmlns:ds="http://schemas.openxmlformats.org/officeDocument/2006/customXml" ds:itemID="{342DC13D-51EF-49CF-9A1F-3797B6FA19C4}">
  <ds:schemaRefs>
    <ds:schemaRef ds:uri="http://schemas.microsoft.com/sharepoint/v3/contenttype/forms"/>
  </ds:schemaRefs>
</ds:datastoreItem>
</file>

<file path=customXml/itemProps3.xml><?xml version="1.0" encoding="utf-8"?>
<ds:datastoreItem xmlns:ds="http://schemas.openxmlformats.org/officeDocument/2006/customXml" ds:itemID="{9524EC7A-A81D-4289-962B-96E0292BF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5c68-06df-40f2-8506-e640496a710f"/>
    <ds:schemaRef ds:uri="d9e3dd3f-8eef-4c63-a047-0d0ab6939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Jurinich</dc:creator>
  <cp:lastModifiedBy>Sara Panizzon</cp:lastModifiedBy>
  <cp:revision>2</cp:revision>
  <dcterms:created xsi:type="dcterms:W3CDTF">2025-10-09T10:01:00Z</dcterms:created>
  <dcterms:modified xsi:type="dcterms:W3CDTF">2025-10-09T10:02:21Z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0x010100B97B58318E23EA438ECC317386C2095C</vt:lpwstr>
  </property>
  <property fmtid="{D5CDD505-2E9C-101B-9397-08002B2CF9AE}" pid="3" name="MediaServiceImageTags">
    <vt:lpwstr/>
  </property>
</Properties>
</file>